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52" w:rsidRPr="00C33549" w:rsidRDefault="000D2752" w:rsidP="000D2752">
      <w:pPr>
        <w:pStyle w:val="Default"/>
        <w:rPr>
          <w:color w:val="auto"/>
          <w:sz w:val="28"/>
          <w:szCs w:val="28"/>
        </w:rPr>
      </w:pPr>
    </w:p>
    <w:p w:rsidR="000D2752" w:rsidRPr="00C33549" w:rsidRDefault="000D2752" w:rsidP="000D2752">
      <w:pPr>
        <w:pStyle w:val="Default"/>
        <w:rPr>
          <w:color w:val="auto"/>
          <w:sz w:val="28"/>
          <w:szCs w:val="28"/>
        </w:rPr>
      </w:pPr>
      <w:r w:rsidRPr="00C33549">
        <w:rPr>
          <w:color w:val="auto"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21640" cy="604520"/>
            <wp:effectExtent l="0" t="0" r="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796A3B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 ОСВІТИ ПУСТОМИТІВСЬКОЇ МІСЬКОЇ РАДИ 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796A3B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2752" w:rsidRPr="00B30E38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E38">
        <w:rPr>
          <w:rFonts w:ascii="Times New Roman" w:hAnsi="Times New Roman" w:cs="Times New Roman"/>
          <w:b/>
          <w:sz w:val="32"/>
          <w:szCs w:val="32"/>
        </w:rPr>
        <w:t xml:space="preserve">НАКАЗ 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D267DE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D2752" w:rsidRPr="00737160" w:rsidRDefault="003B136C" w:rsidP="000D2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19</w:t>
      </w:r>
      <w:r w:rsidR="000D275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D2752">
        <w:rPr>
          <w:rFonts w:ascii="Times New Roman" w:hAnsi="Times New Roman" w:cs="Times New Roman"/>
          <w:b/>
          <w:sz w:val="28"/>
          <w:szCs w:val="28"/>
          <w:lang w:val="uk-UA" w:eastAsia="uk-UA"/>
        </w:rPr>
        <w:t>вересня</w:t>
      </w:r>
      <w:r w:rsidR="000D275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202</w:t>
      </w:r>
      <w:r w:rsidR="00511359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0D2752"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року                     м. </w:t>
      </w:r>
      <w:proofErr w:type="spellStart"/>
      <w:r w:rsidR="000D2752"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>Пустомити</w:t>
      </w:r>
      <w:proofErr w:type="spellEnd"/>
      <w:r w:rsidR="000D275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       </w:t>
      </w:r>
      <w:r w:rsidR="000D2752" w:rsidRPr="007917A2">
        <w:rPr>
          <w:rFonts w:ascii="Times New Roman" w:hAnsi="Times New Roman" w:cs="Times New Roman"/>
          <w:b/>
          <w:sz w:val="28"/>
          <w:szCs w:val="28"/>
          <w:lang w:eastAsia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162</w:t>
      </w:r>
    </w:p>
    <w:p w:rsidR="000D2752" w:rsidRPr="00737160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359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511359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педагогічних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1359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працівників закладів освіти </w:t>
      </w:r>
    </w:p>
    <w:p w:rsidR="000D2752" w:rsidRPr="00511359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Пустомитівської</w:t>
      </w:r>
      <w:proofErr w:type="spellEnd"/>
      <w:r w:rsidRP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D2752" w:rsidRDefault="00186009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202</w:t>
      </w:r>
      <w:r w:rsid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>/202</w:t>
      </w:r>
      <w:r w:rsid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0D2752" w:rsidRPr="00511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навчальному році</w:t>
      </w:r>
    </w:p>
    <w:p w:rsidR="000D2752" w:rsidRPr="00F7086D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1359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>Відповідно до статті 50 Закону України «Про освіту», статті 32 Закону України «Про дошкільну освіту», статті 48 «Про повну загальну середню освіту», ста</w:t>
      </w:r>
      <w:r w:rsidR="007917A2">
        <w:rPr>
          <w:rFonts w:ascii="Times New Roman" w:hAnsi="Times New Roman" w:cs="Times New Roman"/>
          <w:sz w:val="28"/>
          <w:szCs w:val="28"/>
          <w:lang w:val="uk-UA"/>
        </w:rPr>
        <w:t>тті 25 «Про позашкільну освіту»,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вимог Положення про атестацію педагогічних працівників, затвердженого наказом Міністерства освіти і науки України від 09.09.2022 №805</w:t>
      </w:r>
      <w:r w:rsidR="0051135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</w:t>
      </w:r>
      <w:r w:rsidR="009657C1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освіти і науки України від 10.09.2024 р. №1277 "Про внесення змін до Положення про атестацію педагогічних працівників" </w:t>
      </w:r>
      <w:r w:rsidR="00511359">
        <w:rPr>
          <w:rFonts w:ascii="Times New Roman" w:hAnsi="Times New Roman" w:cs="Times New Roman"/>
          <w:sz w:val="28"/>
          <w:szCs w:val="28"/>
          <w:lang w:val="uk-UA"/>
        </w:rPr>
        <w:t>наказу департаменту освіти і науки Львівської обласної державної адміністрації від 16.09.2025 р. №</w:t>
      </w:r>
      <w:r w:rsidR="00791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359">
        <w:rPr>
          <w:rFonts w:ascii="Times New Roman" w:hAnsi="Times New Roman" w:cs="Times New Roman"/>
          <w:sz w:val="28"/>
          <w:szCs w:val="28"/>
          <w:lang w:val="uk-UA"/>
        </w:rPr>
        <w:t>02-02/01/302 "Про проведення атестації педагогічних працівників у 2025/2026 навчальних роках"</w:t>
      </w:r>
    </w:p>
    <w:p w:rsidR="000D2752" w:rsidRDefault="000D2752" w:rsidP="00640B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НАКАЗУЮ: </w:t>
      </w:r>
    </w:p>
    <w:p w:rsidR="000D2752" w:rsidRDefault="00511359" w:rsidP="00640B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2752"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. Створити атестаційну комісію </w:t>
      </w:r>
      <w:r w:rsidR="000D2752" w:rsidRPr="00C33549">
        <w:rPr>
          <w:rFonts w:ascii="Times New Roman" w:hAnsi="Times New Roman" w:cs="Times New Roman"/>
          <w:sz w:val="28"/>
          <w:szCs w:val="28"/>
        </w:rPr>
        <w:t>II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рівня відділу освіти </w:t>
      </w:r>
      <w:proofErr w:type="spellStart"/>
      <w:r w:rsidR="000D2752"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r w:rsidR="000D2752" w:rsidRPr="00C33549">
        <w:rPr>
          <w:rFonts w:ascii="Times New Roman" w:hAnsi="Times New Roman" w:cs="Times New Roman"/>
          <w:sz w:val="28"/>
          <w:szCs w:val="28"/>
          <w:lang w:val="uk-UA"/>
        </w:rPr>
        <w:t>затвердити її п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ерсональний склад та розробити графік засідань атестаційної комісії ІІ рівня</w:t>
      </w:r>
      <w:r w:rsidR="000D2752"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(Додаток 1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="000D2752"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D2752" w:rsidRDefault="000D2752" w:rsidP="00640B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1359">
        <w:rPr>
          <w:rFonts w:ascii="Times New Roman" w:hAnsi="Times New Roman" w:cs="Times New Roman"/>
          <w:sz w:val="28"/>
          <w:szCs w:val="28"/>
          <w:lang w:val="uk-UA"/>
        </w:rPr>
        <w:t>Директорам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22E63" w:rsidRDefault="00640BFF" w:rsidP="00640B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511359" w:rsidRPr="0051135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проведення атестації педагогічних працівників у 2025/2026 навчальному році відпов</w:t>
      </w:r>
      <w:r>
        <w:rPr>
          <w:rFonts w:ascii="Times New Roman" w:hAnsi="Times New Roman" w:cs="Times New Roman"/>
          <w:sz w:val="28"/>
          <w:szCs w:val="28"/>
          <w:lang w:val="uk-UA"/>
        </w:rPr>
        <w:t>ідно до Положення про атестацію;</w:t>
      </w:r>
    </w:p>
    <w:p w:rsidR="00F22E63" w:rsidRDefault="00640BFF" w:rsidP="00640BFF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D2752"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прямувати управлінську діяльність на забезпечення організованого проведення атестації педагогічних працівників та посилити контроль за дотриманням нормативно-правових засад атестаційного процесу, за якістю оформлення атестаційних листів, відповідних наказів, звітної документації. </w:t>
      </w:r>
      <w:r w:rsidR="00F22E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D2752" w:rsidRDefault="00F22E63" w:rsidP="00F22E6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0D2752" w:rsidRDefault="005C79C0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>творити атестаційні комісії І рівня для організації та проведення атестації у закладах освіти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, у яких працює більше 15 педагогічних працівників, 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видати наказ «Про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створення атестаційної комісії»;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752" w:rsidRDefault="005C79C0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>о 20 вересня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0D2752" w:rsidRDefault="005C79C0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>класти та затвердити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графік засідання атестаційної комісії І рівня та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списки педагогічних праців</w:t>
      </w:r>
      <w:r>
        <w:rPr>
          <w:rFonts w:ascii="Times New Roman" w:hAnsi="Times New Roman" w:cs="Times New Roman"/>
          <w:sz w:val="28"/>
          <w:szCs w:val="28"/>
          <w:lang w:val="uk-UA"/>
        </w:rPr>
        <w:t>ників, які підлягають атестації;</w:t>
      </w:r>
      <w:r w:rsidR="000D2752"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752" w:rsidRDefault="005C79C0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10 жовтня 2025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0D2752" w:rsidRDefault="005C79C0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D2752" w:rsidRPr="00C45F21">
        <w:rPr>
          <w:rFonts w:ascii="Times New Roman" w:hAnsi="Times New Roman" w:cs="Times New Roman"/>
          <w:sz w:val="28"/>
          <w:szCs w:val="28"/>
          <w:lang w:val="uk-UA"/>
        </w:rPr>
        <w:t>абезпечити всебічне та об’єктивне вивчення системи роботи педагогічних працівників, які пі</w:t>
      </w:r>
      <w:r>
        <w:rPr>
          <w:rFonts w:ascii="Times New Roman" w:hAnsi="Times New Roman" w:cs="Times New Roman"/>
          <w:sz w:val="28"/>
          <w:szCs w:val="28"/>
          <w:lang w:val="uk-UA"/>
        </w:rPr>
        <w:t>длягають атестації у 2025/2026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2752" w:rsidRPr="00C45F2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D2752" w:rsidRPr="00C45F21">
        <w:rPr>
          <w:rFonts w:ascii="Times New Roman" w:hAnsi="Times New Roman" w:cs="Times New Roman"/>
          <w:sz w:val="28"/>
          <w:szCs w:val="28"/>
          <w:lang w:val="uk-UA"/>
        </w:rPr>
        <w:t xml:space="preserve">. з дотриманням академічної доброчесності. </w:t>
      </w:r>
    </w:p>
    <w:p w:rsidR="005C79C0" w:rsidRDefault="005C79C0" w:rsidP="005C79C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</w:t>
      </w:r>
      <w:r w:rsidR="000D2752" w:rsidRPr="00C45F21">
        <w:rPr>
          <w:rFonts w:ascii="Times New Roman" w:hAnsi="Times New Roman" w:cs="Times New Roman"/>
          <w:sz w:val="28"/>
          <w:szCs w:val="28"/>
          <w:lang w:val="uk-UA"/>
        </w:rPr>
        <w:t>авершити роботу атестаційної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C45F21">
        <w:rPr>
          <w:rFonts w:ascii="Times New Roman" w:hAnsi="Times New Roman" w:cs="Times New Roman"/>
          <w:sz w:val="28"/>
          <w:szCs w:val="28"/>
          <w:lang w:val="uk-UA"/>
        </w:rPr>
        <w:t xml:space="preserve"> І рі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вня закладів освіти </w:t>
      </w:r>
      <w:proofErr w:type="spellStart"/>
      <w:r w:rsidR="000D2752"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0D2752" w:rsidRPr="00C45F21">
        <w:rPr>
          <w:rFonts w:ascii="Times New Roman" w:hAnsi="Times New Roman" w:cs="Times New Roman"/>
          <w:sz w:val="28"/>
          <w:szCs w:val="28"/>
          <w:lang w:val="uk-UA"/>
        </w:rPr>
        <w:t xml:space="preserve"> у строки, визначені Положенням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подати наказ </w:t>
      </w:r>
      <w:r w:rsidR="00104B42">
        <w:rPr>
          <w:rFonts w:ascii="Times New Roman" w:hAnsi="Times New Roman" w:cs="Times New Roman"/>
          <w:sz w:val="28"/>
          <w:szCs w:val="28"/>
          <w:lang w:val="uk-UA"/>
        </w:rPr>
        <w:t>про резул</w:t>
      </w:r>
      <w:r>
        <w:rPr>
          <w:rFonts w:ascii="Times New Roman" w:hAnsi="Times New Roman" w:cs="Times New Roman"/>
          <w:sz w:val="28"/>
          <w:szCs w:val="28"/>
          <w:lang w:val="uk-UA"/>
        </w:rPr>
        <w:t>ьтати атестації у відділ освіти;</w:t>
      </w:r>
      <w:r w:rsidR="00104B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D2752" w:rsidRDefault="00104B42" w:rsidP="005C79C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5C7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до 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 xml:space="preserve"> 01.04.2026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9C7432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0D2752" w:rsidRDefault="005C79C0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D2752"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оприлюднення інформації про засідання атестаційної комісії шляхом розміщення її на офіційному </w:t>
      </w:r>
      <w:proofErr w:type="spellStart"/>
      <w:r w:rsidR="000D2752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освіти.</w:t>
      </w:r>
    </w:p>
    <w:p w:rsidR="000D2752" w:rsidRDefault="005C79C0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10 жовтня 2025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0D2752" w:rsidRDefault="005C79C0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одати у відділ освіти інформацію про склад атестаційної комісії І рівня, графік засідань атестаційної комісії І рівня, список учителів, які атестуються.</w:t>
      </w:r>
    </w:p>
    <w:p w:rsidR="000D2752" w:rsidRDefault="0030443E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 жовтня 2025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30443E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Директорам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, у яких працює менше 15 педагогічних працівників</w:t>
      </w:r>
      <w:r w:rsidR="00FB1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одати до атестаційної комісії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</w:t>
      </w:r>
      <w:r w:rsidRPr="007369E7">
        <w:rPr>
          <w:rFonts w:ascii="Times New Roman" w:hAnsi="Times New Roman" w:cs="Times New Roman"/>
          <w:sz w:val="28"/>
          <w:szCs w:val="28"/>
          <w:lang w:val="uk-UA"/>
        </w:rPr>
        <w:t xml:space="preserve">(паперовий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369E7">
        <w:rPr>
          <w:rFonts w:ascii="Times New Roman" w:hAnsi="Times New Roman" w:cs="Times New Roman"/>
          <w:sz w:val="28"/>
          <w:szCs w:val="28"/>
          <w:lang w:val="uk-UA"/>
        </w:rPr>
        <w:t>електронний варіант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адресу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viddilosvitythpustomyty</w:t>
      </w:r>
      <w:proofErr w:type="spellEnd"/>
      <w:r w:rsidRPr="008E38B8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8E38B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FB1D7E">
        <w:rPr>
          <w:rFonts w:ascii="Times New Roman" w:hAnsi="Times New Roman" w:cs="Times New Roman"/>
          <w:sz w:val="28"/>
          <w:szCs w:val="28"/>
          <w:lang w:val="uk-UA"/>
        </w:rPr>
        <w:t>):</w:t>
      </w:r>
      <w:r w:rsidR="004A60D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0D2752" w:rsidRDefault="00FB1D7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) с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писки педагогічних працівників закладів освіти, які підлягають атестації комісією </w:t>
      </w:r>
      <w:r w:rsidR="000D2752" w:rsidRPr="00C33549">
        <w:rPr>
          <w:rFonts w:ascii="Times New Roman" w:hAnsi="Times New Roman" w:cs="Times New Roman"/>
          <w:sz w:val="28"/>
          <w:szCs w:val="28"/>
        </w:rPr>
        <w:t>II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із зазначенням результатів попередньої атестації відповідно до форми, що додається (Додаток 2); </w:t>
      </w:r>
    </w:p>
    <w:p w:rsidR="000D2752" w:rsidRDefault="00FB1D7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)  з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>аяви педагогічних працівників про позачергову атестацію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2752" w:rsidRDefault="0030443E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20 грудня 2025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D2752" w:rsidRDefault="00FB1D7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) з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>аяви педагогічних працівників про перенесення строку атестації;</w:t>
      </w:r>
    </w:p>
    <w:p w:rsidR="00FB1D7E" w:rsidRDefault="00FB1D7E" w:rsidP="00FB1D7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FB1D7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) п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одання 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у разі зниження 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педагогічним працівником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 xml:space="preserve"> рівня професійної діяльності;</w:t>
      </w:r>
      <w:r w:rsidR="000D2752"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752" w:rsidRDefault="0030443E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86009" w:rsidRPr="009657C1">
        <w:rPr>
          <w:rFonts w:ascii="Times New Roman" w:hAnsi="Times New Roman" w:cs="Times New Roman"/>
          <w:sz w:val="28"/>
          <w:szCs w:val="28"/>
          <w:lang w:val="uk-UA"/>
        </w:rPr>
        <w:t>о 10 жовтня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9657C1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377586" w:rsidRPr="00377586" w:rsidRDefault="00377586" w:rsidP="0037758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5) копії сертифікатів, що засвідчують проходження курсів підвищення кваліфікації протягом 5-ти  років;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Заступнику начальника відділу освіти Надії Плебанській: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752" w:rsidRDefault="0030443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>класти та подати до атестаційної комісії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ІІ рівня</w:t>
      </w:r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 списки керівників закладів освіти,</w:t>
      </w:r>
      <w:r w:rsidR="00186009"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 які підлягають атестації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6009" w:rsidRPr="00F22E63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2752" w:rsidRDefault="00186009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044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Pr="0030443E" w:rsidRDefault="0030443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ровести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нараду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ке</w:t>
      </w:r>
      <w:r w:rsidR="000D2752">
        <w:rPr>
          <w:rFonts w:ascii="Times New Roman" w:hAnsi="Times New Roman" w:cs="Times New Roman"/>
          <w:sz w:val="28"/>
          <w:szCs w:val="28"/>
        </w:rPr>
        <w:t>рівників</w:t>
      </w:r>
      <w:proofErr w:type="spellEnd"/>
      <w:r w:rsidR="000D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0D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D2752">
        <w:rPr>
          <w:rFonts w:ascii="Times New Roman" w:hAnsi="Times New Roman" w:cs="Times New Roman"/>
          <w:sz w:val="28"/>
          <w:szCs w:val="28"/>
        </w:rPr>
        <w:t xml:space="preserve"> 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підготовк</w:t>
      </w:r>
      <w:r w:rsidR="0018600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600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00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6009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н.р.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2752" w:rsidRDefault="0030443E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0D2752" w:rsidRPr="0030443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860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86009" w:rsidRPr="0030443E">
        <w:rPr>
          <w:rFonts w:ascii="Times New Roman" w:hAnsi="Times New Roman" w:cs="Times New Roman"/>
          <w:sz w:val="28"/>
          <w:szCs w:val="28"/>
          <w:lang w:val="uk-UA"/>
        </w:rPr>
        <w:t xml:space="preserve"> жовтня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30443E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0D2752" w:rsidRDefault="0030443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>атвердити списки педагогічних п</w:t>
      </w:r>
      <w:r w:rsidR="00F22E63">
        <w:rPr>
          <w:rFonts w:ascii="Times New Roman" w:hAnsi="Times New Roman" w:cs="Times New Roman"/>
          <w:sz w:val="28"/>
          <w:szCs w:val="28"/>
          <w:lang w:val="uk-UA"/>
        </w:rPr>
        <w:t>рацівників закладів освіти</w:t>
      </w:r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D7E">
        <w:rPr>
          <w:rFonts w:ascii="Times New Roman" w:hAnsi="Times New Roman" w:cs="Times New Roman"/>
          <w:sz w:val="28"/>
          <w:szCs w:val="28"/>
          <w:lang w:val="uk-UA"/>
        </w:rPr>
        <w:t xml:space="preserve"> які підлягають атестації у 2025/2026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D2752" w:rsidRPr="00F22E63">
        <w:rPr>
          <w:rFonts w:ascii="Times New Roman" w:hAnsi="Times New Roman" w:cs="Times New Roman"/>
          <w:sz w:val="28"/>
          <w:szCs w:val="28"/>
          <w:lang w:val="uk-UA"/>
        </w:rPr>
        <w:t xml:space="preserve">. атестаційною комісією </w:t>
      </w:r>
      <w:r>
        <w:rPr>
          <w:rFonts w:ascii="Times New Roman" w:hAnsi="Times New Roman" w:cs="Times New Roman"/>
          <w:sz w:val="28"/>
          <w:szCs w:val="28"/>
        </w:rPr>
        <w:t xml:space="preserve">II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752" w:rsidRDefault="0030443E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86009">
        <w:rPr>
          <w:rFonts w:ascii="Times New Roman" w:hAnsi="Times New Roman" w:cs="Times New Roman"/>
          <w:sz w:val="28"/>
          <w:szCs w:val="28"/>
        </w:rPr>
        <w:t xml:space="preserve">о 10 </w:t>
      </w:r>
      <w:proofErr w:type="spellStart"/>
      <w:r w:rsidR="0018600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1860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30443E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2752" w:rsidRPr="00C33549">
        <w:rPr>
          <w:rFonts w:ascii="Times New Roman" w:hAnsi="Times New Roman" w:cs="Times New Roman"/>
          <w:sz w:val="28"/>
          <w:szCs w:val="28"/>
        </w:rPr>
        <w:t>ада</w:t>
      </w:r>
      <w:proofErr w:type="spellStart"/>
      <w:r w:rsidR="000D2752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0D2752" w:rsidRPr="00C3354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атестаційним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комісіям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D2752" w:rsidRPr="00C3354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0D2752" w:rsidRPr="00C33549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D2752" w:rsidRPr="00C3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752" w:rsidRDefault="0030443E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з</w:t>
      </w:r>
      <w:r w:rsidR="000D2752">
        <w:rPr>
          <w:rFonts w:ascii="Times New Roman" w:hAnsi="Times New Roman" w:cs="Times New Roman"/>
          <w:sz w:val="28"/>
          <w:szCs w:val="28"/>
          <w:lang w:val="uk-UA"/>
        </w:rPr>
        <w:t>абезпечити оприлюднення інформації про засідання атестаційної комісії ІІ рівня шляхом розміщення її на офі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Завершити роботу атестаційної комісії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у строки, визначені Положенням про атестацію педагогічних працівників. </w:t>
      </w:r>
    </w:p>
    <w:p w:rsidR="000D2752" w:rsidRDefault="000D2752" w:rsidP="000D27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Головам атестаційн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их комісій забезпечити організоване проведення атестації та об’єктивне оцінювання педагогічних працівників відповідно до вимог Положення про атестацію педагогічних працівників та з дотриманням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доброчесності.</w:t>
      </w:r>
    </w:p>
    <w:p w:rsidR="00F22E63" w:rsidRDefault="00F22E63" w:rsidP="000D27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C33549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 xml:space="preserve">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наказу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Начальник                                 Надія КОГУТ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F36009" w:rsidRDefault="000D2752" w:rsidP="000D2752">
      <w:pPr>
        <w:spacing w:line="240" w:lineRule="auto"/>
        <w:jc w:val="right"/>
        <w:rPr>
          <w:rFonts w:ascii="Times New Roman" w:hAnsi="Times New Roman" w:cs="Times New Roman"/>
          <w:szCs w:val="28"/>
          <w:lang w:val="uk-UA"/>
        </w:rPr>
      </w:pPr>
      <w:r w:rsidRPr="00F36009">
        <w:rPr>
          <w:rFonts w:ascii="Times New Roman" w:hAnsi="Times New Roman" w:cs="Times New Roman"/>
          <w:szCs w:val="28"/>
          <w:lang w:val="uk-UA"/>
        </w:rPr>
        <w:lastRenderedPageBreak/>
        <w:t>Додаток 1</w:t>
      </w:r>
    </w:p>
    <w:p w:rsidR="000D2752" w:rsidRPr="00F36009" w:rsidRDefault="000D2752" w:rsidP="000D2752">
      <w:pPr>
        <w:spacing w:line="240" w:lineRule="auto"/>
        <w:jc w:val="right"/>
        <w:rPr>
          <w:rFonts w:ascii="Times New Roman" w:hAnsi="Times New Roman" w:cs="Times New Roman"/>
          <w:szCs w:val="28"/>
          <w:lang w:val="uk-UA"/>
        </w:rPr>
      </w:pPr>
      <w:r w:rsidRPr="00F36009">
        <w:rPr>
          <w:rFonts w:ascii="Times New Roman" w:hAnsi="Times New Roman" w:cs="Times New Roman"/>
          <w:szCs w:val="28"/>
          <w:lang w:val="uk-UA"/>
        </w:rPr>
        <w:t>ЗАТВЕРДЖЕНО</w:t>
      </w:r>
    </w:p>
    <w:p w:rsidR="000D2752" w:rsidRPr="00F36009" w:rsidRDefault="000D2752" w:rsidP="000D2752">
      <w:pPr>
        <w:spacing w:line="240" w:lineRule="auto"/>
        <w:jc w:val="right"/>
        <w:rPr>
          <w:rFonts w:ascii="Times New Roman" w:hAnsi="Times New Roman" w:cs="Times New Roman"/>
          <w:szCs w:val="28"/>
          <w:lang w:val="uk-UA"/>
        </w:rPr>
      </w:pPr>
      <w:r w:rsidRPr="00F36009">
        <w:rPr>
          <w:rFonts w:ascii="Times New Roman" w:hAnsi="Times New Roman" w:cs="Times New Roman"/>
          <w:szCs w:val="28"/>
          <w:lang w:val="uk-UA"/>
        </w:rPr>
        <w:t xml:space="preserve">наказом відділу освіти </w:t>
      </w:r>
    </w:p>
    <w:p w:rsidR="000D2752" w:rsidRPr="00F36009" w:rsidRDefault="000D2752" w:rsidP="000D2752">
      <w:pPr>
        <w:spacing w:line="240" w:lineRule="auto"/>
        <w:jc w:val="right"/>
        <w:rPr>
          <w:sz w:val="18"/>
          <w:lang w:val="uk-UA"/>
        </w:rPr>
      </w:pPr>
      <w:r w:rsidRPr="00F36009">
        <w:rPr>
          <w:rFonts w:ascii="Times New Roman" w:hAnsi="Times New Roman" w:cs="Times New Roman"/>
          <w:szCs w:val="28"/>
          <w:lang w:val="uk-UA"/>
        </w:rPr>
        <w:t>від №</w:t>
      </w:r>
      <w:r w:rsidR="007917A2" w:rsidRPr="00F36009">
        <w:rPr>
          <w:rFonts w:ascii="Times New Roman" w:hAnsi="Times New Roman" w:cs="Times New Roman"/>
          <w:szCs w:val="28"/>
          <w:lang w:val="uk-UA"/>
        </w:rPr>
        <w:t xml:space="preserve">154 </w:t>
      </w:r>
      <w:r w:rsidR="00567802" w:rsidRPr="00F36009">
        <w:rPr>
          <w:rFonts w:ascii="Times New Roman" w:hAnsi="Times New Roman" w:cs="Times New Roman"/>
          <w:szCs w:val="28"/>
          <w:lang w:val="uk-UA"/>
        </w:rPr>
        <w:t xml:space="preserve"> від </w:t>
      </w:r>
      <w:r w:rsidR="007917A2" w:rsidRPr="00F36009">
        <w:rPr>
          <w:rFonts w:ascii="Times New Roman" w:hAnsi="Times New Roman" w:cs="Times New Roman"/>
          <w:szCs w:val="28"/>
          <w:lang w:val="uk-UA"/>
        </w:rPr>
        <w:t>02.09.2025</w:t>
      </w:r>
      <w:r w:rsidRPr="00F36009">
        <w:rPr>
          <w:rFonts w:ascii="Times New Roman" w:hAnsi="Times New Roman" w:cs="Times New Roman"/>
          <w:szCs w:val="28"/>
          <w:lang w:val="uk-UA"/>
        </w:rPr>
        <w:t xml:space="preserve"> р.</w:t>
      </w:r>
    </w:p>
    <w:p w:rsidR="000D2752" w:rsidRDefault="000D2752" w:rsidP="000D2752">
      <w:pPr>
        <w:spacing w:line="240" w:lineRule="auto"/>
        <w:jc w:val="both"/>
        <w:rPr>
          <w:lang w:val="uk-UA"/>
        </w:rPr>
      </w:pPr>
    </w:p>
    <w:p w:rsidR="000D2752" w:rsidRPr="000C186F" w:rsidRDefault="000D2752" w:rsidP="000D2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атестаційної комісії </w:t>
      </w:r>
      <w:r w:rsidRPr="000C186F">
        <w:rPr>
          <w:rFonts w:ascii="Times New Roman" w:hAnsi="Times New Roman" w:cs="Times New Roman"/>
          <w:b/>
          <w:sz w:val="28"/>
          <w:szCs w:val="28"/>
        </w:rPr>
        <w:t>II</w:t>
      </w: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</w:t>
      </w:r>
    </w:p>
    <w:p w:rsidR="000D2752" w:rsidRPr="000C186F" w:rsidRDefault="000D2752" w:rsidP="000D2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 освіти </w:t>
      </w:r>
      <w:proofErr w:type="spellStart"/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Пустомитівської</w:t>
      </w:r>
      <w:proofErr w:type="spellEnd"/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міської ради</w:t>
      </w:r>
    </w:p>
    <w:p w:rsidR="000D2752" w:rsidRPr="000C186F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Голова атестаційної комісії: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Надія Когут, начальник відділу освіти</w:t>
      </w:r>
      <w:r w:rsidRPr="000C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Надія Плебанська, заступник начальника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Надія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голова ПК територіальної громади;</w:t>
      </w:r>
    </w:p>
    <w:p w:rsidR="006E0805" w:rsidRDefault="006E0805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Ігор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Мадай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ім.В.Кучабського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0805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 w:rsidR="006E0805">
        <w:rPr>
          <w:rFonts w:ascii="Times New Roman" w:hAnsi="Times New Roman" w:cs="Times New Roman"/>
          <w:sz w:val="28"/>
          <w:szCs w:val="28"/>
          <w:lang w:val="uk-UA"/>
        </w:rPr>
        <w:t>Векляк</w:t>
      </w:r>
      <w:proofErr w:type="spellEnd"/>
      <w:r w:rsidR="006E0805">
        <w:rPr>
          <w:rFonts w:ascii="Times New Roman" w:hAnsi="Times New Roman" w:cs="Times New Roman"/>
          <w:sz w:val="28"/>
          <w:szCs w:val="28"/>
          <w:lang w:val="uk-UA"/>
        </w:rPr>
        <w:t xml:space="preserve">, директор ЗДО №1 </w:t>
      </w:r>
      <w:proofErr w:type="spellStart"/>
      <w:r w:rsidR="006E0805">
        <w:rPr>
          <w:rFonts w:ascii="Times New Roman" w:hAnsi="Times New Roman" w:cs="Times New Roman"/>
          <w:sz w:val="28"/>
          <w:szCs w:val="28"/>
          <w:lang w:val="uk-UA"/>
        </w:rPr>
        <w:t>м.Пустомити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0805" w:rsidRDefault="006E0805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Леся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Кондюх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директор ЗДО №3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м.Пустомити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03B1" w:rsidRDefault="00AB03B1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93A" w:rsidRDefault="004A393A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E63" w:rsidRDefault="00F22E63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009" w:rsidRDefault="00F36009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F36009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F36009">
        <w:rPr>
          <w:rFonts w:ascii="Times New Roman" w:hAnsi="Times New Roman" w:cs="Times New Roman"/>
          <w:lang w:val="uk-UA"/>
        </w:rPr>
        <w:t>Додаток 2</w:t>
      </w:r>
    </w:p>
    <w:p w:rsidR="000D2752" w:rsidRPr="00F36009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F36009">
        <w:rPr>
          <w:rFonts w:ascii="Times New Roman" w:hAnsi="Times New Roman" w:cs="Times New Roman"/>
          <w:lang w:val="uk-UA"/>
        </w:rPr>
        <w:t>ЗАТВЕРДЖЕНО</w:t>
      </w:r>
    </w:p>
    <w:p w:rsidR="000D2752" w:rsidRPr="00F36009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F36009">
        <w:rPr>
          <w:rFonts w:ascii="Times New Roman" w:hAnsi="Times New Roman" w:cs="Times New Roman"/>
          <w:lang w:val="uk-UA"/>
        </w:rPr>
        <w:t xml:space="preserve">наказом відділу освіти </w:t>
      </w:r>
    </w:p>
    <w:p w:rsidR="007917A2" w:rsidRPr="00F36009" w:rsidRDefault="007917A2" w:rsidP="007917A2">
      <w:pPr>
        <w:spacing w:line="240" w:lineRule="auto"/>
        <w:jc w:val="right"/>
        <w:rPr>
          <w:lang w:val="uk-UA"/>
        </w:rPr>
      </w:pPr>
      <w:r w:rsidRPr="00F36009">
        <w:rPr>
          <w:rFonts w:ascii="Times New Roman" w:hAnsi="Times New Roman" w:cs="Times New Roman"/>
          <w:lang w:val="uk-UA"/>
        </w:rPr>
        <w:t>від №154  від 02.09.2025 р.</w:t>
      </w:r>
    </w:p>
    <w:p w:rsidR="000D2752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75166C" w:rsidRDefault="000D2752" w:rsidP="000D275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uk-UA"/>
        </w:rPr>
      </w:pPr>
      <w:r w:rsidRPr="00F36009">
        <w:rPr>
          <w:rFonts w:ascii="Times New Roman" w:hAnsi="Times New Roman" w:cs="Times New Roman"/>
          <w:b/>
          <w:lang w:val="uk-UA" w:eastAsia="uk-UA"/>
        </w:rPr>
        <w:t>Список</w:t>
      </w:r>
    </w:p>
    <w:p w:rsidR="000D2752" w:rsidRPr="00F36009" w:rsidRDefault="00D86868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uk-UA"/>
        </w:rPr>
      </w:pPr>
      <w:r w:rsidRPr="00F36009">
        <w:rPr>
          <w:rFonts w:ascii="Times New Roman" w:hAnsi="Times New Roman" w:cs="Times New Roman"/>
          <w:b/>
          <w:lang w:val="uk-UA" w:eastAsia="uk-UA"/>
        </w:rPr>
        <w:t xml:space="preserve">педагогів </w:t>
      </w:r>
      <w:r w:rsidR="0081055A" w:rsidRPr="00F36009">
        <w:rPr>
          <w:rFonts w:ascii="Times New Roman" w:hAnsi="Times New Roman" w:cs="Times New Roman"/>
          <w:b/>
          <w:lang w:val="uk-UA" w:eastAsia="uk-UA"/>
        </w:rPr>
        <w:t>закладів освіти</w:t>
      </w:r>
      <w:r w:rsidRPr="00F36009">
        <w:rPr>
          <w:rFonts w:ascii="Times New Roman" w:hAnsi="Times New Roman" w:cs="Times New Roman"/>
          <w:b/>
          <w:lang w:val="uk-UA" w:eastAsia="uk-UA"/>
        </w:rPr>
        <w:t xml:space="preserve"> </w:t>
      </w:r>
      <w:proofErr w:type="spellStart"/>
      <w:r w:rsidRPr="00F36009">
        <w:rPr>
          <w:rFonts w:ascii="Times New Roman" w:hAnsi="Times New Roman" w:cs="Times New Roman"/>
          <w:b/>
          <w:lang w:val="uk-UA" w:eastAsia="uk-UA"/>
        </w:rPr>
        <w:t>Пустомитівської</w:t>
      </w:r>
      <w:proofErr w:type="spellEnd"/>
      <w:r w:rsidRPr="00F36009">
        <w:rPr>
          <w:rFonts w:ascii="Times New Roman" w:hAnsi="Times New Roman" w:cs="Times New Roman"/>
          <w:b/>
          <w:lang w:val="uk-UA" w:eastAsia="uk-UA"/>
        </w:rPr>
        <w:t xml:space="preserve"> міської ради</w:t>
      </w:r>
      <w:r w:rsidR="000D2752" w:rsidRPr="00F36009">
        <w:rPr>
          <w:rFonts w:ascii="Times New Roman" w:hAnsi="Times New Roman" w:cs="Times New Roman"/>
          <w:b/>
          <w:lang w:val="uk-UA" w:eastAsia="uk-UA"/>
        </w:rPr>
        <w:t xml:space="preserve">, </w:t>
      </w: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  <w:lang w:val="uk-UA" w:eastAsia="uk-UA"/>
        </w:rPr>
      </w:pP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eastAsia="uk-UA"/>
        </w:rPr>
      </w:pPr>
      <w:proofErr w:type="spellStart"/>
      <w:r w:rsidRPr="00F36009">
        <w:rPr>
          <w:rFonts w:ascii="Times New Roman" w:hAnsi="Times New Roman" w:cs="Times New Roman"/>
          <w:b/>
          <w:lang w:eastAsia="uk-UA"/>
        </w:rPr>
        <w:t>які</w:t>
      </w:r>
      <w:proofErr w:type="spellEnd"/>
      <w:r w:rsidRPr="00F36009">
        <w:rPr>
          <w:rFonts w:ascii="Times New Roman" w:hAnsi="Times New Roman" w:cs="Times New Roman"/>
          <w:b/>
          <w:lang w:eastAsia="uk-UA"/>
        </w:rPr>
        <w:t xml:space="preserve"> </w:t>
      </w:r>
      <w:proofErr w:type="spellStart"/>
      <w:r w:rsidRPr="00F36009">
        <w:rPr>
          <w:rFonts w:ascii="Times New Roman" w:hAnsi="Times New Roman" w:cs="Times New Roman"/>
          <w:b/>
          <w:lang w:eastAsia="uk-UA"/>
        </w:rPr>
        <w:t>атестуються</w:t>
      </w:r>
      <w:proofErr w:type="spellEnd"/>
      <w:r w:rsidRPr="00F36009">
        <w:rPr>
          <w:rFonts w:ascii="Times New Roman" w:hAnsi="Times New Roman" w:cs="Times New Roman"/>
          <w:b/>
          <w:lang w:eastAsia="uk-UA"/>
        </w:rPr>
        <w:t xml:space="preserve"> у 20</w:t>
      </w:r>
      <w:r w:rsidR="007917A2" w:rsidRPr="00F36009">
        <w:rPr>
          <w:rFonts w:ascii="Times New Roman" w:hAnsi="Times New Roman" w:cs="Times New Roman"/>
          <w:b/>
          <w:lang w:val="uk-UA" w:eastAsia="uk-UA"/>
        </w:rPr>
        <w:t>25</w:t>
      </w:r>
      <w:r w:rsidRPr="00F36009">
        <w:rPr>
          <w:rFonts w:ascii="Times New Roman" w:hAnsi="Times New Roman" w:cs="Times New Roman"/>
          <w:b/>
          <w:lang w:eastAsia="uk-UA"/>
        </w:rPr>
        <w:t>/20</w:t>
      </w:r>
      <w:r w:rsidR="007917A2" w:rsidRPr="00F36009">
        <w:rPr>
          <w:rFonts w:ascii="Times New Roman" w:hAnsi="Times New Roman" w:cs="Times New Roman"/>
          <w:b/>
          <w:lang w:val="uk-UA" w:eastAsia="uk-UA"/>
        </w:rPr>
        <w:t>26</w:t>
      </w:r>
      <w:r w:rsidRPr="00F36009">
        <w:rPr>
          <w:rFonts w:ascii="Times New Roman" w:hAnsi="Times New Roman" w:cs="Times New Roman"/>
          <w:b/>
          <w:lang w:eastAsia="uk-UA"/>
        </w:rPr>
        <w:t xml:space="preserve"> н.р. </w:t>
      </w: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eastAsia="uk-UA"/>
        </w:rPr>
      </w:pPr>
    </w:p>
    <w:p w:rsidR="000D2752" w:rsidRPr="00F36009" w:rsidRDefault="000D2752" w:rsidP="000D2752">
      <w:pPr>
        <w:spacing w:after="0" w:line="240" w:lineRule="auto"/>
        <w:rPr>
          <w:rFonts w:ascii="Times New Roman" w:hAnsi="Times New Roman" w:cs="Times New Roman"/>
          <w:lang w:eastAsia="uk-UA"/>
        </w:rPr>
      </w:pPr>
    </w:p>
    <w:p w:rsidR="000D2752" w:rsidRPr="00F36009" w:rsidRDefault="000D2752" w:rsidP="000D2752">
      <w:pPr>
        <w:spacing w:after="0" w:line="240" w:lineRule="auto"/>
        <w:jc w:val="both"/>
        <w:rPr>
          <w:rFonts w:ascii="Times New Roman" w:hAnsi="Times New Roman" w:cs="Times New Roman"/>
          <w:lang w:eastAsia="uk-UA"/>
        </w:rPr>
      </w:pPr>
    </w:p>
    <w:tbl>
      <w:tblPr>
        <w:tblStyle w:val="a5"/>
        <w:tblW w:w="11381" w:type="dxa"/>
        <w:tblInd w:w="-1239" w:type="dxa"/>
        <w:tblLayout w:type="fixed"/>
        <w:tblLook w:val="04A0"/>
      </w:tblPr>
      <w:tblGrid>
        <w:gridCol w:w="354"/>
        <w:gridCol w:w="1032"/>
        <w:gridCol w:w="1237"/>
        <w:gridCol w:w="992"/>
        <w:gridCol w:w="1134"/>
        <w:gridCol w:w="1134"/>
        <w:gridCol w:w="993"/>
        <w:gridCol w:w="708"/>
        <w:gridCol w:w="851"/>
        <w:gridCol w:w="567"/>
        <w:gridCol w:w="992"/>
        <w:gridCol w:w="709"/>
        <w:gridCol w:w="678"/>
      </w:tblGrid>
      <w:tr w:rsidR="00F22E63" w:rsidRPr="00F36009" w:rsidTr="00F22E63">
        <w:trPr>
          <w:trHeight w:val="494"/>
        </w:trPr>
        <w:tc>
          <w:tcPr>
            <w:tcW w:w="354" w:type="dxa"/>
            <w:vMerge w:val="restart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  <w:r w:rsidRPr="00F36009">
              <w:rPr>
                <w:rFonts w:ascii="Times New Roman" w:hAnsi="Times New Roman" w:cs="Times New Roman"/>
                <w:b/>
                <w:lang w:eastAsia="uk-UA"/>
              </w:rPr>
              <w:t>№</w:t>
            </w:r>
          </w:p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з</w:t>
            </w:r>
            <w:proofErr w:type="spellEnd"/>
            <w:r w:rsidRPr="00F36009">
              <w:rPr>
                <w:rFonts w:ascii="Times New Roman" w:hAnsi="Times New Roman" w:cs="Times New Roman"/>
                <w:b/>
                <w:lang w:eastAsia="uk-UA"/>
              </w:rPr>
              <w:t>/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п</w:t>
            </w:r>
            <w:proofErr w:type="spellEnd"/>
          </w:p>
        </w:tc>
        <w:tc>
          <w:tcPr>
            <w:tcW w:w="1032" w:type="dxa"/>
            <w:vMerge w:val="restart"/>
            <w:tcBorders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Прізвище</w:t>
            </w:r>
            <w:proofErr w:type="spellEnd"/>
            <w:r w:rsidRPr="00F36009">
              <w:rPr>
                <w:rFonts w:ascii="Times New Roman" w:hAnsi="Times New Roman" w:cs="Times New Roman"/>
                <w:b/>
                <w:lang w:eastAsia="uk-UA"/>
              </w:rPr>
              <w:t xml:space="preserve">,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ім’я</w:t>
            </w:r>
            <w:proofErr w:type="spellEnd"/>
            <w:r w:rsidRPr="00F36009">
              <w:rPr>
                <w:rFonts w:ascii="Times New Roman" w:hAnsi="Times New Roman" w:cs="Times New Roman"/>
                <w:b/>
                <w:lang w:eastAsia="uk-UA"/>
              </w:rPr>
              <w:t xml:space="preserve">, по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батькові</w:t>
            </w:r>
            <w:proofErr w:type="spellEnd"/>
          </w:p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6009">
              <w:rPr>
                <w:rFonts w:ascii="Times New Roman" w:hAnsi="Times New Roman" w:cs="Times New Roman"/>
                <w:b/>
                <w:lang w:val="uk-UA"/>
              </w:rPr>
              <w:t>Місце праці</w:t>
            </w:r>
          </w:p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  <w:r w:rsidRPr="00F36009">
              <w:rPr>
                <w:rFonts w:ascii="Times New Roman" w:hAnsi="Times New Roman" w:cs="Times New Roman"/>
                <w:b/>
                <w:lang w:eastAsia="uk-UA"/>
              </w:rPr>
              <w:t>Дата</w:t>
            </w:r>
            <w:r w:rsidRPr="00F36009">
              <w:rPr>
                <w:rFonts w:ascii="Times New Roman" w:hAnsi="Times New Roman" w:cs="Times New Roman"/>
                <w:b/>
                <w:lang w:val="uk-UA" w:eastAsia="uk-UA"/>
              </w:rPr>
              <w:t xml:space="preserve"> і рік</w:t>
            </w:r>
            <w:r w:rsidRPr="00F36009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народження</w:t>
            </w:r>
            <w:proofErr w:type="spellEnd"/>
          </w:p>
        </w:tc>
        <w:tc>
          <w:tcPr>
            <w:tcW w:w="1134" w:type="dxa"/>
            <w:vMerge w:val="restart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6009">
              <w:rPr>
                <w:rFonts w:ascii="Times New Roman" w:hAnsi="Times New Roman" w:cs="Times New Roman"/>
                <w:b/>
                <w:lang w:val="uk-UA" w:eastAsia="uk-UA"/>
              </w:rPr>
              <w:t xml:space="preserve">Навчальний заклад, який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закінчив</w:t>
            </w:r>
            <w:proofErr w:type="spellEnd"/>
            <w:r w:rsidRPr="00F36009">
              <w:rPr>
                <w:rFonts w:ascii="Times New Roman" w:hAnsi="Times New Roman" w:cs="Times New Roman"/>
                <w:b/>
                <w:lang w:eastAsia="uk-UA"/>
              </w:rPr>
              <w:t xml:space="preserve">,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134" w:type="dxa"/>
            <w:vMerge w:val="restart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Спеціальність</w:t>
            </w:r>
            <w:proofErr w:type="spellEnd"/>
            <w:r w:rsidRPr="00F36009">
              <w:rPr>
                <w:rFonts w:ascii="Times New Roman" w:hAnsi="Times New Roman" w:cs="Times New Roman"/>
                <w:b/>
                <w:lang w:eastAsia="uk-UA"/>
              </w:rPr>
              <w:t xml:space="preserve"> за дипломом</w:t>
            </w:r>
          </w:p>
        </w:tc>
        <w:tc>
          <w:tcPr>
            <w:tcW w:w="993" w:type="dxa"/>
            <w:vMerge w:val="restart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6009">
              <w:rPr>
                <w:rFonts w:ascii="Times New Roman" w:hAnsi="Times New Roman" w:cs="Times New Roman"/>
                <w:b/>
                <w:lang w:val="uk-UA" w:eastAsia="uk-UA"/>
              </w:rPr>
              <w:t>З яких предметів чи посади атестується</w:t>
            </w:r>
          </w:p>
        </w:tc>
        <w:tc>
          <w:tcPr>
            <w:tcW w:w="708" w:type="dxa"/>
            <w:vMerge w:val="restart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6009">
              <w:rPr>
                <w:rFonts w:ascii="Times New Roman" w:hAnsi="Times New Roman" w:cs="Times New Roman"/>
                <w:b/>
                <w:lang w:eastAsia="uk-UA"/>
              </w:rPr>
              <w:t xml:space="preserve">Стаж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роботи</w:t>
            </w:r>
            <w:proofErr w:type="spellEnd"/>
          </w:p>
        </w:tc>
        <w:tc>
          <w:tcPr>
            <w:tcW w:w="851" w:type="dxa"/>
            <w:vMerge w:val="restart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6009">
              <w:rPr>
                <w:rFonts w:ascii="Times New Roman" w:hAnsi="Times New Roman" w:cs="Times New Roman"/>
                <w:b/>
                <w:lang w:val="uk-UA" w:eastAsia="uk-UA"/>
              </w:rPr>
              <w:t>К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атегорія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Звання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Рік</w:t>
            </w:r>
            <w:proofErr w:type="spellEnd"/>
          </w:p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попередньої</w:t>
            </w:r>
            <w:proofErr w:type="spellEnd"/>
            <w:r w:rsidRPr="00F36009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атестації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6009">
              <w:rPr>
                <w:rFonts w:ascii="Times New Roman" w:hAnsi="Times New Roman" w:cs="Times New Roman"/>
                <w:b/>
                <w:lang w:val="uk-UA"/>
              </w:rPr>
              <w:t>Претендує на: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6009">
              <w:rPr>
                <w:rFonts w:ascii="Times New Roman" w:hAnsi="Times New Roman" w:cs="Times New Roman"/>
                <w:b/>
                <w:lang w:val="uk-UA"/>
              </w:rPr>
              <w:t>Відомчі нагороди</w:t>
            </w:r>
          </w:p>
        </w:tc>
      </w:tr>
      <w:tr w:rsidR="005C547A" w:rsidRPr="00F36009" w:rsidTr="00F22E63">
        <w:trPr>
          <w:trHeight w:val="548"/>
        </w:trPr>
        <w:tc>
          <w:tcPr>
            <w:tcW w:w="354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992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134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993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708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851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7A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К</w:t>
            </w:r>
            <w:r w:rsidR="005C547A" w:rsidRPr="00F36009">
              <w:rPr>
                <w:rFonts w:ascii="Times New Roman" w:hAnsi="Times New Roman" w:cs="Times New Roman"/>
                <w:b/>
                <w:lang w:eastAsia="uk-UA"/>
              </w:rPr>
              <w:t>атегорія</w:t>
            </w:r>
            <w:proofErr w:type="spellEnd"/>
            <w:r w:rsidRPr="00F36009">
              <w:rPr>
                <w:rFonts w:ascii="Times New Roman" w:hAnsi="Times New Roman" w:cs="Times New Roman"/>
                <w:b/>
                <w:lang w:val="uk-UA" w:eastAsia="uk-UA"/>
              </w:rPr>
              <w:t xml:space="preserve">, </w:t>
            </w:r>
            <w:proofErr w:type="spellStart"/>
            <w:r w:rsidRPr="00F36009">
              <w:rPr>
                <w:rFonts w:ascii="Times New Roman" w:hAnsi="Times New Roman" w:cs="Times New Roman"/>
                <w:b/>
                <w:lang w:eastAsia="uk-UA"/>
              </w:rPr>
              <w:t>звання</w:t>
            </w:r>
            <w:proofErr w:type="spellEnd"/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22E63" w:rsidRPr="00F36009" w:rsidTr="00F22E63">
        <w:trPr>
          <w:trHeight w:val="548"/>
        </w:trPr>
        <w:tc>
          <w:tcPr>
            <w:tcW w:w="354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992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134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1134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993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708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851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22E63" w:rsidRPr="00F36009" w:rsidTr="00F22E63">
        <w:trPr>
          <w:trHeight w:val="548"/>
        </w:trPr>
        <w:tc>
          <w:tcPr>
            <w:tcW w:w="354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1134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1134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3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8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851" w:type="dxa"/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</w:tbl>
    <w:p w:rsidR="004A393A" w:rsidRDefault="004A393A" w:rsidP="008038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</w:p>
    <w:p w:rsidR="004A393A" w:rsidRDefault="004A393A" w:rsidP="008038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36009" w:rsidRDefault="00F36009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Pr="00F36009" w:rsidRDefault="000D2752" w:rsidP="00F36009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F36009">
        <w:rPr>
          <w:rFonts w:ascii="Times New Roman" w:hAnsi="Times New Roman" w:cs="Times New Roman"/>
          <w:b/>
          <w:lang w:val="uk-UA"/>
        </w:rPr>
        <w:t>Додаток 3</w:t>
      </w:r>
    </w:p>
    <w:p w:rsidR="000D2752" w:rsidRPr="00F36009" w:rsidRDefault="000D2752" w:rsidP="00F3600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F36009">
        <w:rPr>
          <w:rFonts w:ascii="Times New Roman" w:hAnsi="Times New Roman" w:cs="Times New Roman"/>
          <w:lang w:val="uk-UA"/>
        </w:rPr>
        <w:t>ЗАТВЕРДЖЕНО</w:t>
      </w:r>
    </w:p>
    <w:p w:rsidR="000D2752" w:rsidRPr="00F36009" w:rsidRDefault="000D2752" w:rsidP="00F3600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F36009">
        <w:rPr>
          <w:rFonts w:ascii="Times New Roman" w:hAnsi="Times New Roman" w:cs="Times New Roman"/>
          <w:lang w:val="uk-UA"/>
        </w:rPr>
        <w:t xml:space="preserve">наказом відділу освіти </w:t>
      </w:r>
    </w:p>
    <w:p w:rsidR="007917A2" w:rsidRPr="00F36009" w:rsidRDefault="007917A2" w:rsidP="00F36009">
      <w:pPr>
        <w:spacing w:after="0" w:line="240" w:lineRule="auto"/>
        <w:jc w:val="right"/>
        <w:rPr>
          <w:lang w:val="uk-UA"/>
        </w:rPr>
      </w:pPr>
      <w:r w:rsidRPr="00F36009">
        <w:rPr>
          <w:rFonts w:ascii="Times New Roman" w:hAnsi="Times New Roman" w:cs="Times New Roman"/>
          <w:lang w:val="uk-UA"/>
        </w:rPr>
        <w:t>від №154  від 02.09.2025 р.</w:t>
      </w:r>
    </w:p>
    <w:p w:rsidR="000D2752" w:rsidRDefault="000D2752" w:rsidP="00F3600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Pr="003F34A5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4A5">
        <w:rPr>
          <w:rFonts w:ascii="Times New Roman" w:hAnsi="Times New Roman" w:cs="Times New Roman"/>
          <w:b/>
          <w:sz w:val="28"/>
          <w:szCs w:val="28"/>
          <w:lang w:val="uk-UA"/>
        </w:rPr>
        <w:t>Графік та тематика засідань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4A5">
        <w:rPr>
          <w:rFonts w:ascii="Times New Roman" w:hAnsi="Times New Roman" w:cs="Times New Roman"/>
          <w:b/>
          <w:sz w:val="28"/>
          <w:szCs w:val="28"/>
          <w:lang w:val="uk-UA"/>
        </w:rPr>
        <w:t>атестаційної комісії ІІ рівня</w:t>
      </w:r>
    </w:p>
    <w:p w:rsidR="000D2752" w:rsidRPr="0050147F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3"/>
        <w:gridCol w:w="7186"/>
        <w:gridCol w:w="14"/>
        <w:gridCol w:w="1968"/>
      </w:tblGrid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№ з/п</w:t>
            </w:r>
          </w:p>
        </w:tc>
        <w:tc>
          <w:tcPr>
            <w:tcW w:w="7186" w:type="dxa"/>
            <w:vAlign w:val="center"/>
          </w:tcPr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Тематика засідань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Відповідальні</w:t>
            </w:r>
          </w:p>
        </w:tc>
      </w:tr>
      <w:tr w:rsidR="000D2752" w:rsidRPr="0050147F" w:rsidTr="00DC0CA3">
        <w:tc>
          <w:tcPr>
            <w:tcW w:w="9771" w:type="dxa"/>
            <w:gridSpan w:val="4"/>
            <w:vAlign w:val="center"/>
          </w:tcPr>
          <w:p w:rsidR="000D2752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val="en-US" w:eastAsia="ru-RU"/>
              </w:rPr>
            </w:pPr>
          </w:p>
          <w:p w:rsidR="000D2752" w:rsidRPr="0050147F" w:rsidRDefault="000D2752" w:rsidP="00DC0CA3">
            <w:pPr>
              <w:pStyle w:val="VLASOW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147F">
              <w:rPr>
                <w:b/>
                <w:color w:val="auto"/>
                <w:szCs w:val="28"/>
                <w:lang w:eastAsia="ru-RU"/>
              </w:rPr>
              <w:t>І засідання (</w:t>
            </w:r>
            <w:r>
              <w:rPr>
                <w:b/>
                <w:color w:val="auto"/>
                <w:szCs w:val="28"/>
                <w:lang w:val="en-US" w:eastAsia="ru-RU"/>
              </w:rPr>
              <w:t xml:space="preserve"> 10 </w:t>
            </w:r>
            <w:r>
              <w:rPr>
                <w:b/>
                <w:color w:val="auto"/>
                <w:szCs w:val="28"/>
                <w:lang w:eastAsia="ru-RU"/>
              </w:rPr>
              <w:t>жовтня</w:t>
            </w:r>
            <w:r w:rsidRPr="0050147F">
              <w:rPr>
                <w:b/>
                <w:color w:val="auto"/>
                <w:szCs w:val="28"/>
                <w:lang w:eastAsia="ru-RU"/>
              </w:rPr>
              <w:t>)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 w:rsidRPr="00937D25">
              <w:rPr>
                <w:color w:val="auto"/>
                <w:szCs w:val="28"/>
                <w:lang w:eastAsia="ru-RU"/>
              </w:rPr>
              <w:t>1</w:t>
            </w:r>
          </w:p>
        </w:tc>
        <w:tc>
          <w:tcPr>
            <w:tcW w:w="7200" w:type="dxa"/>
            <w:gridSpan w:val="2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 w:rsidRPr="00937D25">
              <w:rPr>
                <w:color w:val="auto"/>
                <w:szCs w:val="28"/>
                <w:lang w:eastAsia="ru-RU"/>
              </w:rPr>
              <w:t>Про форму голосування членів АК ІІ рівня на засіданнях</w:t>
            </w:r>
          </w:p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1968" w:type="dxa"/>
            <w:vAlign w:val="center"/>
          </w:tcPr>
          <w:p w:rsidR="000D2752" w:rsidRPr="00DC2934" w:rsidRDefault="000D2752" w:rsidP="00DC0CA3">
            <w:pPr>
              <w:pStyle w:val="VLASOW"/>
              <w:jc w:val="center"/>
              <w:rPr>
                <w:color w:val="auto"/>
                <w:szCs w:val="28"/>
                <w:lang w:eastAsia="ru-RU"/>
              </w:rPr>
            </w:pPr>
            <w:r w:rsidRPr="00DC2934">
              <w:rPr>
                <w:color w:val="auto"/>
                <w:szCs w:val="28"/>
                <w:lang w:eastAsia="ru-RU"/>
              </w:rPr>
              <w:t>Голова АК</w:t>
            </w:r>
          </w:p>
        </w:tc>
      </w:tr>
      <w:tr w:rsidR="000D2752" w:rsidRPr="00937D25" w:rsidTr="00DC0CA3">
        <w:tc>
          <w:tcPr>
            <w:tcW w:w="603" w:type="dxa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2.</w:t>
            </w:r>
          </w:p>
        </w:tc>
        <w:tc>
          <w:tcPr>
            <w:tcW w:w="7200" w:type="dxa"/>
            <w:gridSpan w:val="2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Озна</w:t>
            </w:r>
            <w:r w:rsidR="00AF7FC5">
              <w:rPr>
                <w:color w:val="auto"/>
                <w:szCs w:val="28"/>
                <w:lang w:eastAsia="ru-RU"/>
              </w:rPr>
              <w:t xml:space="preserve">йомлення та затвердження списку педагогічних працівників та керівних кадрів, </w:t>
            </w:r>
            <w:r>
              <w:rPr>
                <w:color w:val="auto"/>
                <w:szCs w:val="28"/>
                <w:lang w:eastAsia="ru-RU"/>
              </w:rPr>
              <w:t>які підлягають черговій атестації та його затвердження.</w:t>
            </w:r>
          </w:p>
        </w:tc>
        <w:tc>
          <w:tcPr>
            <w:tcW w:w="1968" w:type="dxa"/>
            <w:vAlign w:val="center"/>
          </w:tcPr>
          <w:p w:rsidR="000D2752" w:rsidRPr="00DC2934" w:rsidRDefault="000D2752" w:rsidP="00DC0CA3">
            <w:pPr>
              <w:pStyle w:val="VLASOW"/>
              <w:jc w:val="center"/>
              <w:rPr>
                <w:color w:val="auto"/>
                <w:szCs w:val="28"/>
                <w:lang w:eastAsia="ru-RU"/>
              </w:rPr>
            </w:pPr>
            <w:r w:rsidRPr="00DC2934">
              <w:rPr>
                <w:color w:val="auto"/>
                <w:szCs w:val="28"/>
                <w:lang w:eastAsia="ru-RU"/>
              </w:rPr>
              <w:t>Секретар АК</w:t>
            </w:r>
          </w:p>
        </w:tc>
      </w:tr>
      <w:tr w:rsidR="000D2752" w:rsidRPr="00937D25" w:rsidTr="00DC0CA3">
        <w:tc>
          <w:tcPr>
            <w:tcW w:w="603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3.</w:t>
            </w:r>
          </w:p>
        </w:tc>
        <w:tc>
          <w:tcPr>
            <w:tcW w:w="7200" w:type="dxa"/>
            <w:gridSpan w:val="2"/>
            <w:vAlign w:val="center"/>
          </w:tcPr>
          <w:p w:rsidR="000D2752" w:rsidRDefault="000D2752" w:rsidP="00AF7FC5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 xml:space="preserve"> </w:t>
            </w:r>
            <w:r w:rsidR="00AF7FC5">
              <w:t xml:space="preserve">Опрацювання </w:t>
            </w:r>
            <w:r w:rsidR="00AF7FC5">
              <w:rPr>
                <w:bdr w:val="none" w:sz="0" w:space="0" w:color="auto" w:frame="1"/>
              </w:rPr>
              <w:t>законодавчої, правової та нормативної документації</w:t>
            </w:r>
            <w:r w:rsidR="00AF7FC5" w:rsidRPr="003363E9">
              <w:rPr>
                <w:bdr w:val="none" w:sz="0" w:space="0" w:color="auto" w:frame="1"/>
              </w:rPr>
              <w:t xml:space="preserve"> з питань атестації педагогічних працівників</w:t>
            </w:r>
          </w:p>
        </w:tc>
        <w:tc>
          <w:tcPr>
            <w:tcW w:w="1968" w:type="dxa"/>
            <w:vAlign w:val="center"/>
          </w:tcPr>
          <w:p w:rsidR="000D2752" w:rsidRPr="00DC2934" w:rsidRDefault="00AF7FC5" w:rsidP="00DC0CA3">
            <w:pPr>
              <w:pStyle w:val="VLASOW"/>
              <w:jc w:val="center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Секретар</w:t>
            </w:r>
            <w:r w:rsidR="000D2752" w:rsidRPr="00DC2934">
              <w:rPr>
                <w:color w:val="auto"/>
                <w:szCs w:val="28"/>
                <w:lang w:eastAsia="ru-RU"/>
              </w:rPr>
              <w:t xml:space="preserve"> АК</w:t>
            </w:r>
            <w:r>
              <w:rPr>
                <w:color w:val="auto"/>
                <w:szCs w:val="28"/>
                <w:lang w:eastAsia="ru-RU"/>
              </w:rPr>
              <w:t>, члени АК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4</w:t>
            </w:r>
            <w:r w:rsidRPr="0050147F">
              <w:rPr>
                <w:color w:val="auto"/>
                <w:szCs w:val="28"/>
                <w:lang w:val="ru-RU" w:eastAsia="ru-RU"/>
              </w:rPr>
              <w:t>.</w:t>
            </w:r>
          </w:p>
        </w:tc>
        <w:tc>
          <w:tcPr>
            <w:tcW w:w="7186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 xml:space="preserve">Затвердження графіку роботи АК 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5.</w:t>
            </w:r>
          </w:p>
        </w:tc>
        <w:tc>
          <w:tcPr>
            <w:tcW w:w="7186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Затвердження графіку проведення атестації педагогічних працівників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6.</w:t>
            </w:r>
          </w:p>
        </w:tc>
        <w:tc>
          <w:tcPr>
            <w:tcW w:w="7186" w:type="dxa"/>
            <w:vAlign w:val="center"/>
          </w:tcPr>
          <w:p w:rsidR="000D2752" w:rsidRPr="00937D25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color w:val="auto"/>
                <w:szCs w:val="28"/>
                <w:lang w:val="ru-RU" w:eastAsia="ru-RU"/>
              </w:rPr>
              <w:t>Розподіл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обов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>"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язків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між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членами АК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щодо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вивчення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професійної</w:t>
            </w:r>
            <w:proofErr w:type="spellEnd"/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val="ru-RU" w:eastAsia="ru-RU"/>
              </w:rPr>
              <w:t>діяльності</w:t>
            </w:r>
            <w:proofErr w:type="spellEnd"/>
            <w:r w:rsidR="00F36009"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="00F36009">
              <w:rPr>
                <w:color w:val="auto"/>
                <w:szCs w:val="28"/>
                <w:lang w:val="ru-RU" w:eastAsia="ru-RU"/>
              </w:rPr>
              <w:t>педагогічних</w:t>
            </w:r>
            <w:proofErr w:type="spellEnd"/>
            <w:r w:rsidR="00F36009">
              <w:rPr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="00F36009">
              <w:rPr>
                <w:color w:val="auto"/>
                <w:szCs w:val="28"/>
                <w:lang w:val="ru-RU" w:eastAsia="ru-RU"/>
              </w:rPr>
              <w:t>працівників</w:t>
            </w:r>
            <w:proofErr w:type="spellEnd"/>
            <w:r w:rsidR="00F36009">
              <w:rPr>
                <w:color w:val="auto"/>
                <w:szCs w:val="28"/>
                <w:lang w:val="ru-RU" w:eastAsia="ru-RU"/>
              </w:rPr>
              <w:t xml:space="preserve"> у 2025 -2026</w:t>
            </w:r>
            <w:r>
              <w:rPr>
                <w:color w:val="auto"/>
                <w:szCs w:val="28"/>
                <w:lang w:val="ru-RU" w:eastAsia="ru-RU"/>
              </w:rPr>
              <w:t xml:space="preserve"> р.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7186" w:type="dxa"/>
            <w:vAlign w:val="center"/>
          </w:tcPr>
          <w:p w:rsidR="000D2752" w:rsidRDefault="000D2752" w:rsidP="00DC0CA3">
            <w:pPr>
              <w:pStyle w:val="VLASOW"/>
              <w:jc w:val="center"/>
              <w:rPr>
                <w:b/>
                <w:szCs w:val="28"/>
                <w:lang w:val="en-US"/>
              </w:rPr>
            </w:pPr>
          </w:p>
          <w:p w:rsidR="000D2752" w:rsidRDefault="000D2752" w:rsidP="00DC0CA3">
            <w:pPr>
              <w:pStyle w:val="VLASOW"/>
              <w:jc w:val="center"/>
              <w:rPr>
                <w:color w:val="auto"/>
                <w:szCs w:val="28"/>
                <w:lang w:val="ru-RU" w:eastAsia="ru-RU"/>
              </w:rPr>
            </w:pPr>
            <w:r>
              <w:rPr>
                <w:b/>
                <w:szCs w:val="28"/>
              </w:rPr>
              <w:t>І</w:t>
            </w:r>
            <w:r w:rsidRPr="0050147F">
              <w:rPr>
                <w:b/>
                <w:szCs w:val="28"/>
              </w:rPr>
              <w:t>І засідання (</w:t>
            </w:r>
            <w:r w:rsidR="00860C6A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 xml:space="preserve"> січня</w:t>
            </w:r>
            <w:r w:rsidRPr="0050147F">
              <w:rPr>
                <w:b/>
                <w:szCs w:val="28"/>
              </w:rPr>
              <w:t>)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 xml:space="preserve">1. </w:t>
            </w:r>
          </w:p>
        </w:tc>
        <w:tc>
          <w:tcPr>
            <w:tcW w:w="7186" w:type="dxa"/>
            <w:vAlign w:val="center"/>
          </w:tcPr>
          <w:p w:rsidR="000D2752" w:rsidRPr="00F77205" w:rsidRDefault="000D2752" w:rsidP="00DC0CA3">
            <w:pPr>
              <w:pStyle w:val="VLASOW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F77205">
              <w:rPr>
                <w:szCs w:val="28"/>
              </w:rPr>
              <w:t>Ознайомлення та затвердження списку педагогічних працівників, які підлягають позачерговій атестації.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>Голова АК,</w:t>
            </w:r>
          </w:p>
          <w:p w:rsidR="000D2752" w:rsidRPr="00DC2934" w:rsidRDefault="000D2752" w:rsidP="00DC0CA3">
            <w:pPr>
              <w:pStyle w:val="VLASOW"/>
              <w:jc w:val="left"/>
              <w:rPr>
                <w:color w:val="auto"/>
                <w:szCs w:val="28"/>
                <w:lang w:val="ru-RU" w:eastAsia="ru-RU"/>
              </w:rPr>
            </w:pPr>
            <w:r w:rsidRPr="00DC2934">
              <w:rPr>
                <w:color w:val="auto"/>
                <w:szCs w:val="28"/>
                <w:lang w:val="ru-RU" w:eastAsia="ru-RU"/>
              </w:rPr>
              <w:t xml:space="preserve">члени </w:t>
            </w:r>
            <w:proofErr w:type="spellStart"/>
            <w:r w:rsidRPr="00DC2934">
              <w:rPr>
                <w:color w:val="auto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9771" w:type="dxa"/>
            <w:gridSpan w:val="4"/>
            <w:vAlign w:val="center"/>
          </w:tcPr>
          <w:p w:rsidR="000D2752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D2752" w:rsidRPr="0050147F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 </w:t>
            </w:r>
            <w:proofErr w:type="spellStart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 б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7443D8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досвіду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50147F" w:rsidRDefault="000D2752" w:rsidP="00860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Уточнення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атестаційних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списків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звільнених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атестації</w:t>
            </w: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тих</w:t>
            </w:r>
            <w:r w:rsidR="00860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педагогічних працівників</w:t>
            </w: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атестуватися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20</w:t>
            </w:r>
            <w:r w:rsidR="00F360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за станом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0D2752" w:rsidRPr="0050147F" w:rsidTr="00DC0CA3">
        <w:tc>
          <w:tcPr>
            <w:tcW w:w="9771" w:type="dxa"/>
            <w:gridSpan w:val="4"/>
            <w:vAlign w:val="center"/>
          </w:tcPr>
          <w:p w:rsidR="000D2752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D2752" w:rsidRPr="0050147F" w:rsidRDefault="000D2752" w:rsidP="00DC0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60C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  <w:r w:rsidRPr="005014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AF7FC5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Слухання презентації особистого досвіду, роботи, досягнень.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AF7FC5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Педагоги, що атестуються</w:t>
            </w:r>
          </w:p>
        </w:tc>
      </w:tr>
      <w:tr w:rsidR="00AF7FC5" w:rsidRPr="0050147F" w:rsidTr="00DC0CA3">
        <w:tc>
          <w:tcPr>
            <w:tcW w:w="603" w:type="dxa"/>
            <w:vAlign w:val="center"/>
          </w:tcPr>
          <w:p w:rsidR="00AF7FC5" w:rsidRPr="0050147F" w:rsidRDefault="00AF7FC5" w:rsidP="00DC0CA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AF7FC5" w:rsidRPr="0050147F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кваліфікаційних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звань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раніше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присвоєним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категоріям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званням</w:t>
            </w:r>
            <w:proofErr w:type="spellEnd"/>
            <w:r w:rsidRPr="00BA2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  <w:vAlign w:val="center"/>
          </w:tcPr>
          <w:p w:rsidR="00AF7FC5" w:rsidRPr="0050147F" w:rsidRDefault="00AF7FC5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Голова та члени АК</w:t>
            </w:r>
          </w:p>
        </w:tc>
      </w:tr>
      <w:tr w:rsidR="000D2752" w:rsidRPr="0050147F" w:rsidTr="00DC0CA3">
        <w:tc>
          <w:tcPr>
            <w:tcW w:w="603" w:type="dxa"/>
            <w:vAlign w:val="center"/>
          </w:tcPr>
          <w:p w:rsidR="000D2752" w:rsidRPr="0050147F" w:rsidRDefault="000D2752" w:rsidP="00DC0CA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Align w:val="center"/>
          </w:tcPr>
          <w:p w:rsidR="000D2752" w:rsidRPr="00BA2098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умов,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висунутих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засіданні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атестаційної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 xml:space="preserve"> ІІ </w:t>
            </w:r>
            <w:proofErr w:type="spellStart"/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BA2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  <w:vAlign w:val="center"/>
          </w:tcPr>
          <w:p w:rsidR="000D2752" w:rsidRPr="0050147F" w:rsidRDefault="000D2752" w:rsidP="00DC0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47F">
              <w:rPr>
                <w:rFonts w:ascii="Times New Roman" w:hAnsi="Times New Roman" w:cs="Times New Roman"/>
                <w:sz w:val="28"/>
                <w:szCs w:val="28"/>
              </w:rPr>
              <w:t>Голова та члени АК</w:t>
            </w:r>
          </w:p>
        </w:tc>
      </w:tr>
    </w:tbl>
    <w:p w:rsidR="000D2752" w:rsidRPr="007D5785" w:rsidRDefault="000D2752" w:rsidP="000D2752">
      <w:pPr>
        <w:spacing w:after="0" w:line="240" w:lineRule="auto"/>
        <w:rPr>
          <w:szCs w:val="28"/>
        </w:rPr>
      </w:pPr>
    </w:p>
    <w:p w:rsidR="00FA00E4" w:rsidRDefault="00FA00E4"/>
    <w:sectPr w:rsidR="00FA00E4" w:rsidSect="00F360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35D5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BB07FA9"/>
    <w:multiLevelType w:val="hybridMultilevel"/>
    <w:tmpl w:val="72EC2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7F3929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2752"/>
    <w:rsid w:val="00032ABD"/>
    <w:rsid w:val="00060FDC"/>
    <w:rsid w:val="000D2752"/>
    <w:rsid w:val="00104B42"/>
    <w:rsid w:val="001146D2"/>
    <w:rsid w:val="00186009"/>
    <w:rsid w:val="002B48CE"/>
    <w:rsid w:val="0030443E"/>
    <w:rsid w:val="00305CCF"/>
    <w:rsid w:val="003124E3"/>
    <w:rsid w:val="003510C9"/>
    <w:rsid w:val="00353BD8"/>
    <w:rsid w:val="00374DC8"/>
    <w:rsid w:val="00377586"/>
    <w:rsid w:val="003B136C"/>
    <w:rsid w:val="004222B6"/>
    <w:rsid w:val="004261E1"/>
    <w:rsid w:val="004A393A"/>
    <w:rsid w:val="004A60DC"/>
    <w:rsid w:val="004B73AD"/>
    <w:rsid w:val="0050238F"/>
    <w:rsid w:val="00511359"/>
    <w:rsid w:val="00567802"/>
    <w:rsid w:val="00592E05"/>
    <w:rsid w:val="005C547A"/>
    <w:rsid w:val="005C79C0"/>
    <w:rsid w:val="00640BFF"/>
    <w:rsid w:val="006E0805"/>
    <w:rsid w:val="006F7768"/>
    <w:rsid w:val="00711750"/>
    <w:rsid w:val="007200A2"/>
    <w:rsid w:val="007917A2"/>
    <w:rsid w:val="00803894"/>
    <w:rsid w:val="0081055A"/>
    <w:rsid w:val="00860C6A"/>
    <w:rsid w:val="009627CB"/>
    <w:rsid w:val="009657C1"/>
    <w:rsid w:val="009B15EC"/>
    <w:rsid w:val="00AB03B1"/>
    <w:rsid w:val="00AE7CA7"/>
    <w:rsid w:val="00AF7FC5"/>
    <w:rsid w:val="00C14B53"/>
    <w:rsid w:val="00C248C6"/>
    <w:rsid w:val="00CF17D8"/>
    <w:rsid w:val="00D86868"/>
    <w:rsid w:val="00E24129"/>
    <w:rsid w:val="00EE1D5E"/>
    <w:rsid w:val="00F22E63"/>
    <w:rsid w:val="00F36009"/>
    <w:rsid w:val="00FA00E4"/>
    <w:rsid w:val="00FB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7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D275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D275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D2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SOW">
    <w:name w:val="VLASOW"/>
    <w:basedOn w:val="a"/>
    <w:link w:val="VLASOW0"/>
    <w:uiPriority w:val="99"/>
    <w:rsid w:val="000D275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character" w:customStyle="1" w:styleId="VLASOW0">
    <w:name w:val="VLASOW Знак"/>
    <w:basedOn w:val="a0"/>
    <w:link w:val="VLASOW"/>
    <w:uiPriority w:val="99"/>
    <w:locked/>
    <w:rsid w:val="000D2752"/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7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2025-10-07T06:10:00Z</cp:lastPrinted>
  <dcterms:created xsi:type="dcterms:W3CDTF">2023-10-25T13:24:00Z</dcterms:created>
  <dcterms:modified xsi:type="dcterms:W3CDTF">2025-10-07T06:13:00Z</dcterms:modified>
</cp:coreProperties>
</file>